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15" w:rsidRPr="002E70A9" w:rsidRDefault="005B2015" w:rsidP="005B2015">
      <w:pPr>
        <w:spacing w:before="240" w:after="240" w:line="360" w:lineRule="auto"/>
        <w:jc w:val="both"/>
        <w:rPr>
          <w:rFonts w:ascii="Palatino Linotype" w:hAnsi="Palatino Linotype"/>
          <w:b/>
          <w:sz w:val="24"/>
          <w:szCs w:val="24"/>
        </w:rPr>
      </w:pPr>
      <w:r w:rsidRPr="002E70A9">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DÉCIMA </w:t>
      </w:r>
      <w:r>
        <w:rPr>
          <w:rFonts w:ascii="Palatino Linotype" w:hAnsi="Palatino Linotype"/>
          <w:b/>
          <w:sz w:val="24"/>
          <w:szCs w:val="24"/>
        </w:rPr>
        <w:t xml:space="preserve">SEXTA </w:t>
      </w:r>
      <w:r w:rsidRPr="002E70A9">
        <w:rPr>
          <w:rFonts w:ascii="Palatino Linotype" w:hAnsi="Palatino Linotype"/>
          <w:b/>
          <w:sz w:val="24"/>
          <w:szCs w:val="24"/>
        </w:rPr>
        <w:t xml:space="preserve">SESIÓN ORDINARIA DEL </w:t>
      </w:r>
      <w:r>
        <w:rPr>
          <w:rFonts w:ascii="Palatino Linotype" w:hAnsi="Palatino Linotype"/>
          <w:b/>
          <w:sz w:val="24"/>
          <w:szCs w:val="24"/>
        </w:rPr>
        <w:t xml:space="preserve">DOS DE MAYO </w:t>
      </w:r>
      <w:r w:rsidRPr="002E70A9">
        <w:rPr>
          <w:rFonts w:ascii="Palatino Linotype" w:hAnsi="Palatino Linotype"/>
          <w:b/>
          <w:sz w:val="24"/>
          <w:szCs w:val="24"/>
        </w:rPr>
        <w:t>DE DOS MIL DIECINUEVE, EN EL RECURSO DE REVISIÓN 0</w:t>
      </w:r>
      <w:r>
        <w:rPr>
          <w:rFonts w:ascii="Palatino Linotype" w:hAnsi="Palatino Linotype"/>
          <w:b/>
          <w:sz w:val="24"/>
          <w:szCs w:val="24"/>
        </w:rPr>
        <w:t>1257</w:t>
      </w:r>
      <w:r w:rsidRPr="002E70A9">
        <w:rPr>
          <w:rFonts w:ascii="Palatino Linotype" w:hAnsi="Palatino Linotype"/>
          <w:b/>
          <w:sz w:val="24"/>
          <w:szCs w:val="24"/>
        </w:rPr>
        <w:t>/INFOEM/IP/RR/2019.</w:t>
      </w:r>
    </w:p>
    <w:p w:rsidR="005B2015" w:rsidRPr="002E70A9" w:rsidRDefault="005B2015" w:rsidP="005B2015">
      <w:pPr>
        <w:spacing w:before="240" w:after="240" w:line="360" w:lineRule="auto"/>
        <w:jc w:val="both"/>
        <w:rPr>
          <w:rFonts w:ascii="Palatino Linotype" w:hAnsi="Palatino Linotype"/>
          <w:sz w:val="24"/>
          <w:szCs w:val="24"/>
        </w:rPr>
      </w:pPr>
      <w:r w:rsidRPr="002E70A9">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2E70A9">
        <w:rPr>
          <w:rFonts w:ascii="Palatino Linotype" w:hAnsi="Palatino Linotype"/>
          <w:b/>
          <w:sz w:val="24"/>
          <w:szCs w:val="24"/>
        </w:rPr>
        <w:t xml:space="preserve">VOTO PARTICULAR </w:t>
      </w:r>
      <w:r w:rsidRPr="002E70A9">
        <w:rPr>
          <w:rFonts w:ascii="Palatino Linotype" w:hAnsi="Palatino Linotype"/>
          <w:sz w:val="24"/>
          <w:szCs w:val="24"/>
        </w:rPr>
        <w:t>respecto a la resolución dictada en el recurso de revisión número 0</w:t>
      </w:r>
      <w:r>
        <w:rPr>
          <w:rFonts w:ascii="Palatino Linotype" w:hAnsi="Palatino Linotype"/>
          <w:sz w:val="24"/>
          <w:szCs w:val="24"/>
        </w:rPr>
        <w:t>1257</w:t>
      </w:r>
      <w:r w:rsidRPr="002E70A9">
        <w:rPr>
          <w:rFonts w:ascii="Palatino Linotype" w:hAnsi="Palatino Linotype"/>
          <w:sz w:val="24"/>
          <w:szCs w:val="24"/>
        </w:rPr>
        <w:t>/INFOEM/IP/RR/2019, pronunciada por el Pleno de este Instituto an</w:t>
      </w:r>
      <w:r w:rsidR="009544DB">
        <w:rPr>
          <w:rFonts w:ascii="Palatino Linotype" w:hAnsi="Palatino Linotype"/>
          <w:sz w:val="24"/>
          <w:szCs w:val="24"/>
        </w:rPr>
        <w:t xml:space="preserve">te el proyecto presentado por </w:t>
      </w:r>
      <w:r>
        <w:rPr>
          <w:rFonts w:ascii="Palatino Linotype" w:hAnsi="Palatino Linotype"/>
          <w:sz w:val="24"/>
          <w:szCs w:val="24"/>
        </w:rPr>
        <w:t>l</w:t>
      </w:r>
      <w:r w:rsidR="009544DB">
        <w:rPr>
          <w:rFonts w:ascii="Palatino Linotype" w:hAnsi="Palatino Linotype"/>
          <w:sz w:val="24"/>
          <w:szCs w:val="24"/>
        </w:rPr>
        <w:t>a Comisionada</w:t>
      </w:r>
      <w:r w:rsidRPr="002E70A9">
        <w:rPr>
          <w:rFonts w:ascii="Palatino Linotype" w:hAnsi="Palatino Linotype"/>
          <w:sz w:val="24"/>
          <w:szCs w:val="24"/>
        </w:rPr>
        <w:t xml:space="preserve"> </w:t>
      </w:r>
      <w:r w:rsidR="009544DB">
        <w:rPr>
          <w:rFonts w:ascii="Palatino Linotype" w:hAnsi="Palatino Linotype"/>
          <w:sz w:val="24"/>
          <w:szCs w:val="24"/>
        </w:rPr>
        <w:t>Eva Abaid Yapur</w:t>
      </w:r>
      <w:r w:rsidRPr="002E70A9">
        <w:rPr>
          <w:rFonts w:ascii="Palatino Linotype" w:hAnsi="Palatino Linotype"/>
          <w:sz w:val="24"/>
          <w:szCs w:val="24"/>
        </w:rPr>
        <w:t xml:space="preserve">. </w:t>
      </w:r>
    </w:p>
    <w:p w:rsidR="005B2015" w:rsidRPr="002E70A9" w:rsidRDefault="005B2015" w:rsidP="005B2015">
      <w:pPr>
        <w:spacing w:before="240" w:after="240" w:line="360" w:lineRule="auto"/>
        <w:jc w:val="both"/>
        <w:rPr>
          <w:rFonts w:ascii="Palatino Linotype" w:hAnsi="Palatino Linotype"/>
          <w:sz w:val="24"/>
          <w:szCs w:val="24"/>
        </w:rPr>
      </w:pPr>
      <w:r w:rsidRPr="002E70A9">
        <w:rPr>
          <w:rFonts w:ascii="Palatino Linotype" w:hAnsi="Palatino Linotype"/>
          <w:sz w:val="24"/>
          <w:szCs w:val="24"/>
        </w:rPr>
        <w:t>Antes de plantear el punto sobre el cual versa el presente voto, es de suma importancia mencionar que el suscrito en términos generales coincide en el sentido de la resolución del recurso de revisión al rubro indicado, lo anterior es así como a continuación se explica:</w:t>
      </w:r>
    </w:p>
    <w:p w:rsidR="005B2015" w:rsidRPr="002E70A9" w:rsidRDefault="005B2015" w:rsidP="005B2015">
      <w:pPr>
        <w:spacing w:before="240" w:after="240" w:line="360" w:lineRule="auto"/>
        <w:jc w:val="both"/>
        <w:rPr>
          <w:rFonts w:ascii="Palatino Linotype" w:hAnsi="Palatino Linotype"/>
          <w:sz w:val="24"/>
          <w:szCs w:val="24"/>
        </w:rPr>
      </w:pPr>
      <w:r w:rsidRPr="002E70A9">
        <w:rPr>
          <w:rFonts w:ascii="Palatino Linotype" w:hAnsi="Palatino Linotype"/>
          <w:sz w:val="24"/>
          <w:szCs w:val="24"/>
        </w:rPr>
        <w:t>En primer lugar debe precisarse que del análisis realizado a las constancias que integran el recurso de revisión al rubro anotado se advierte que la impetrante requirió que se le entregara lo siguiente:</w:t>
      </w:r>
    </w:p>
    <w:p w:rsidR="005B2015" w:rsidRPr="002E70A9" w:rsidRDefault="005B2015" w:rsidP="005B2015">
      <w:pPr>
        <w:spacing w:after="0" w:line="240" w:lineRule="auto"/>
        <w:jc w:val="both"/>
        <w:rPr>
          <w:rFonts w:ascii="Palatino Linotype" w:hAnsi="Palatino Linotype"/>
          <w:sz w:val="24"/>
          <w:szCs w:val="24"/>
        </w:rPr>
      </w:pPr>
    </w:p>
    <w:p w:rsidR="005B2015" w:rsidRPr="002E70A9" w:rsidRDefault="009544DB" w:rsidP="005B2015">
      <w:pPr>
        <w:spacing w:after="0" w:line="240" w:lineRule="auto"/>
        <w:jc w:val="both"/>
        <w:rPr>
          <w:rFonts w:ascii="Palatino Linotype" w:hAnsi="Palatino Linotype"/>
          <w:b/>
          <w:bCs/>
          <w:i/>
          <w:sz w:val="24"/>
          <w:szCs w:val="24"/>
          <w:lang w:val="es-ES" w:eastAsia="es-MX"/>
        </w:rPr>
      </w:pPr>
      <w:r w:rsidRPr="009544DB">
        <w:rPr>
          <w:rFonts w:ascii="Palatino Linotype" w:hAnsi="Palatino Linotype"/>
          <w:b/>
          <w:bCs/>
          <w:i/>
          <w:sz w:val="24"/>
          <w:szCs w:val="24"/>
          <w:lang w:eastAsia="es-MX"/>
        </w:rPr>
        <w:t>00018/OASATIZARA/IP/2019</w:t>
      </w:r>
      <w:r w:rsidR="005B2015" w:rsidRPr="002E70A9">
        <w:rPr>
          <w:rFonts w:ascii="Palatino Linotype" w:hAnsi="Palatino Linotype"/>
          <w:b/>
          <w:bCs/>
          <w:i/>
          <w:sz w:val="24"/>
          <w:szCs w:val="24"/>
          <w:lang w:val="es-ES" w:eastAsia="es-MX"/>
        </w:rPr>
        <w:t>:</w:t>
      </w:r>
    </w:p>
    <w:p w:rsidR="005B2015" w:rsidRPr="00C15E96" w:rsidRDefault="005B2015" w:rsidP="005B2015">
      <w:pPr>
        <w:spacing w:after="0" w:line="240" w:lineRule="auto"/>
        <w:jc w:val="both"/>
        <w:rPr>
          <w:rFonts w:ascii="Palatino Linotype" w:hAnsi="Palatino Linotype"/>
          <w:bCs/>
          <w:i/>
          <w:lang w:val="es-ES" w:eastAsia="es-MX"/>
        </w:rPr>
      </w:pPr>
    </w:p>
    <w:p w:rsidR="005B2015" w:rsidRPr="00C15E96" w:rsidRDefault="005B2015" w:rsidP="005B2015">
      <w:pPr>
        <w:pStyle w:val="Prrafodelista"/>
        <w:spacing w:after="0" w:line="240" w:lineRule="auto"/>
        <w:jc w:val="both"/>
        <w:rPr>
          <w:rFonts w:ascii="Palatino Linotype" w:hAnsi="Palatino Linotype"/>
          <w:b/>
          <w:i/>
          <w:lang w:eastAsia="es-MX"/>
        </w:rPr>
      </w:pPr>
      <w:r w:rsidRPr="00C15E96">
        <w:rPr>
          <w:rFonts w:ascii="Palatino Linotype" w:hAnsi="Palatino Linotype"/>
          <w:i/>
          <w:lang w:val="es-ES" w:eastAsia="es-MX"/>
        </w:rPr>
        <w:t>“</w:t>
      </w:r>
      <w:r w:rsidR="009544DB" w:rsidRPr="009544DB">
        <w:rPr>
          <w:rFonts w:ascii="Palatino Linotype" w:hAnsi="Palatino Linotype"/>
          <w:bCs/>
          <w:i/>
          <w:lang w:eastAsia="es-MX"/>
        </w:rPr>
        <w:t xml:space="preserve">SOLICITO CONOCER: 1. </w:t>
      </w:r>
      <w:r w:rsidR="009544DB" w:rsidRPr="009544DB">
        <w:rPr>
          <w:rFonts w:ascii="Palatino Linotype" w:hAnsi="Palatino Linotype"/>
          <w:b/>
          <w:bCs/>
          <w:i/>
          <w:lang w:eastAsia="es-MX"/>
        </w:rPr>
        <w:t>NOMBRES</w:t>
      </w:r>
      <w:r w:rsidR="009544DB" w:rsidRPr="009544DB">
        <w:rPr>
          <w:rFonts w:ascii="Palatino Linotype" w:hAnsi="Palatino Linotype"/>
          <w:bCs/>
          <w:i/>
          <w:lang w:eastAsia="es-MX"/>
        </w:rPr>
        <w:t xml:space="preserve"> COMPLETOS 2.-</w:t>
      </w:r>
      <w:r w:rsidR="009544DB" w:rsidRPr="009544DB">
        <w:rPr>
          <w:rFonts w:ascii="Palatino Linotype" w:hAnsi="Palatino Linotype"/>
          <w:b/>
          <w:bCs/>
          <w:i/>
          <w:lang w:eastAsia="es-MX"/>
        </w:rPr>
        <w:t>PUESTOS O CARGOS</w:t>
      </w:r>
      <w:r w:rsidR="009544DB" w:rsidRPr="009544DB">
        <w:rPr>
          <w:rFonts w:ascii="Palatino Linotype" w:hAnsi="Palatino Linotype"/>
          <w:bCs/>
          <w:i/>
          <w:lang w:eastAsia="es-MX"/>
        </w:rPr>
        <w:t xml:space="preserve"> 3.-</w:t>
      </w:r>
      <w:r w:rsidR="009544DB" w:rsidRPr="009544DB">
        <w:rPr>
          <w:rFonts w:ascii="Palatino Linotype" w:hAnsi="Palatino Linotype"/>
          <w:b/>
          <w:bCs/>
          <w:i/>
          <w:lang w:eastAsia="es-MX"/>
        </w:rPr>
        <w:t>AREAS DE ADSCRIPCION</w:t>
      </w:r>
      <w:r w:rsidR="009544DB" w:rsidRPr="009544DB">
        <w:rPr>
          <w:rFonts w:ascii="Palatino Linotype" w:hAnsi="Palatino Linotype"/>
          <w:bCs/>
          <w:i/>
          <w:lang w:eastAsia="es-MX"/>
        </w:rPr>
        <w:t xml:space="preserve"> 4.-</w:t>
      </w:r>
      <w:r w:rsidR="009544DB" w:rsidRPr="009544DB">
        <w:rPr>
          <w:rFonts w:ascii="Palatino Linotype" w:hAnsi="Palatino Linotype"/>
          <w:b/>
          <w:bCs/>
          <w:i/>
          <w:lang w:eastAsia="es-MX"/>
        </w:rPr>
        <w:t>FUNCIONES, RESPOSABILIDADES, O TAREAS ESPECIFICAS Y DETALLADAS DE CADA UNO</w:t>
      </w:r>
      <w:r w:rsidR="009544DB" w:rsidRPr="009544DB">
        <w:rPr>
          <w:rFonts w:ascii="Palatino Linotype" w:hAnsi="Palatino Linotype"/>
          <w:bCs/>
          <w:i/>
          <w:lang w:eastAsia="es-MX"/>
        </w:rPr>
        <w:t xml:space="preserve"> 5.-</w:t>
      </w:r>
      <w:r w:rsidR="009544DB" w:rsidRPr="009544DB">
        <w:rPr>
          <w:rFonts w:ascii="Palatino Linotype" w:hAnsi="Palatino Linotype"/>
          <w:b/>
          <w:bCs/>
          <w:i/>
          <w:lang w:eastAsia="es-MX"/>
        </w:rPr>
        <w:t>SUPERVIDOR INMEDIATO, PUESTO Y NOMBRE</w:t>
      </w:r>
      <w:r w:rsidR="009544DB" w:rsidRPr="009544DB">
        <w:rPr>
          <w:rFonts w:ascii="Palatino Linotype" w:hAnsi="Palatino Linotype"/>
          <w:bCs/>
          <w:i/>
          <w:lang w:eastAsia="es-MX"/>
        </w:rPr>
        <w:t xml:space="preserve"> COMPLETO SEÑALANDO ÁREA, DEPARTMANETO Y DIRECCION GENERAL DE ADSCRIPCIÓN. 6.-</w:t>
      </w:r>
      <w:r w:rsidR="009544DB" w:rsidRPr="009544DB">
        <w:rPr>
          <w:rFonts w:ascii="Palatino Linotype" w:hAnsi="Palatino Linotype"/>
          <w:b/>
          <w:bCs/>
          <w:i/>
          <w:lang w:eastAsia="es-MX"/>
        </w:rPr>
        <w:t>FECHA DE ALTA</w:t>
      </w:r>
      <w:r w:rsidR="009544DB" w:rsidRPr="009544DB">
        <w:rPr>
          <w:rFonts w:ascii="Palatino Linotype" w:hAnsi="Palatino Linotype"/>
          <w:bCs/>
          <w:i/>
          <w:lang w:eastAsia="es-MX"/>
        </w:rPr>
        <w:t>. 7.-</w:t>
      </w:r>
      <w:r w:rsidR="009544DB" w:rsidRPr="009544DB">
        <w:rPr>
          <w:rFonts w:ascii="Palatino Linotype" w:hAnsi="Palatino Linotype"/>
          <w:b/>
          <w:bCs/>
          <w:i/>
          <w:lang w:eastAsia="es-MX"/>
        </w:rPr>
        <w:t>HISTORIAL LABORAL O PROFESIONAL</w:t>
      </w:r>
      <w:r w:rsidR="009544DB" w:rsidRPr="009544DB">
        <w:rPr>
          <w:rFonts w:ascii="Palatino Linotype" w:hAnsi="Palatino Linotype"/>
          <w:bCs/>
          <w:i/>
          <w:lang w:eastAsia="es-MX"/>
        </w:rPr>
        <w:t>. 8.-</w:t>
      </w:r>
      <w:r w:rsidR="009544DB" w:rsidRPr="009544DB">
        <w:rPr>
          <w:rFonts w:ascii="Palatino Linotype" w:hAnsi="Palatino Linotype"/>
          <w:b/>
          <w:bCs/>
          <w:i/>
          <w:lang w:eastAsia="es-MX"/>
        </w:rPr>
        <w:t>GRADO MÁXIMO DE ESTUDIOS. DE TODO EL PERSONAL DE NUEVO INGRESO</w:t>
      </w:r>
      <w:r w:rsidR="009544DB" w:rsidRPr="009544DB">
        <w:rPr>
          <w:rFonts w:ascii="Palatino Linotype" w:hAnsi="Palatino Linotype"/>
          <w:bCs/>
          <w:i/>
          <w:lang w:eastAsia="es-MX"/>
        </w:rPr>
        <w:t xml:space="preserve"> O QUE INGRESO A PARTIR </w:t>
      </w:r>
      <w:r w:rsidR="009544DB" w:rsidRPr="009544DB">
        <w:rPr>
          <w:rFonts w:ascii="Palatino Linotype" w:hAnsi="Palatino Linotype"/>
          <w:b/>
          <w:bCs/>
          <w:i/>
          <w:lang w:eastAsia="es-MX"/>
        </w:rPr>
        <w:t>DEL 01 DE ENERO AL 31 DE ENRO DE LOS CORRIENTES</w:t>
      </w:r>
      <w:r w:rsidR="009544DB" w:rsidRPr="009544DB">
        <w:rPr>
          <w:rFonts w:ascii="Palatino Linotype" w:hAnsi="Palatino Linotype"/>
          <w:bCs/>
          <w:i/>
          <w:lang w:eastAsia="es-MX"/>
        </w:rPr>
        <w:t>. TODO LO ANTERIOR CON EVIDENCIAS DIGITALES</w:t>
      </w:r>
      <w:r w:rsidRPr="00C15E96">
        <w:rPr>
          <w:rFonts w:ascii="Palatino Linotype" w:hAnsi="Palatino Linotype"/>
          <w:i/>
          <w:lang w:val="es-ES" w:eastAsia="es-MX"/>
        </w:rPr>
        <w:t>.” (sic)</w:t>
      </w:r>
    </w:p>
    <w:p w:rsidR="005B2015" w:rsidRPr="00C15E96" w:rsidRDefault="005B2015" w:rsidP="005B2015">
      <w:pPr>
        <w:tabs>
          <w:tab w:val="left" w:pos="1227"/>
        </w:tabs>
        <w:spacing w:after="0" w:line="240" w:lineRule="auto"/>
        <w:jc w:val="both"/>
        <w:rPr>
          <w:rFonts w:ascii="Palatino Linotype" w:hAnsi="Palatino Linotype"/>
          <w:bCs/>
          <w:i/>
          <w:lang w:val="es-ES" w:eastAsia="es-MX"/>
        </w:rPr>
      </w:pPr>
      <w:r>
        <w:rPr>
          <w:rFonts w:ascii="Palatino Linotype" w:hAnsi="Palatino Linotype"/>
          <w:bCs/>
          <w:i/>
          <w:lang w:val="es-ES" w:eastAsia="es-MX"/>
        </w:rPr>
        <w:tab/>
      </w:r>
    </w:p>
    <w:p w:rsidR="005B2015" w:rsidRPr="00C15E96" w:rsidRDefault="005B2015" w:rsidP="005B2015">
      <w:pPr>
        <w:pStyle w:val="Prrafodelista"/>
        <w:spacing w:after="0" w:line="240" w:lineRule="auto"/>
        <w:jc w:val="both"/>
        <w:rPr>
          <w:rFonts w:ascii="Palatino Linotype" w:hAnsi="Palatino Linotype"/>
          <w:bCs/>
          <w:i/>
          <w:lang w:val="es-ES" w:eastAsia="es-MX"/>
        </w:rPr>
      </w:pPr>
      <w:r w:rsidRPr="00C15E96">
        <w:rPr>
          <w:rFonts w:ascii="Palatino Linotype" w:hAnsi="Palatino Linotype"/>
          <w:bCs/>
          <w:i/>
          <w:lang w:val="es-ES" w:eastAsia="es-MX"/>
        </w:rPr>
        <w:t>Énfasis añadido.</w:t>
      </w:r>
    </w:p>
    <w:p w:rsidR="005B2015" w:rsidRPr="00C15E96" w:rsidRDefault="005B2015" w:rsidP="005B2015">
      <w:pPr>
        <w:spacing w:after="0" w:line="360" w:lineRule="auto"/>
        <w:jc w:val="both"/>
        <w:rPr>
          <w:rFonts w:ascii="Palatino Linotype" w:hAnsi="Palatino Linotype"/>
        </w:rPr>
      </w:pPr>
    </w:p>
    <w:p w:rsidR="005B2015" w:rsidRPr="002E70A9" w:rsidRDefault="005B2015" w:rsidP="005B2015">
      <w:pPr>
        <w:spacing w:before="240" w:after="240" w:line="360" w:lineRule="auto"/>
        <w:jc w:val="both"/>
        <w:rPr>
          <w:rFonts w:ascii="Palatino Linotype" w:hAnsi="Palatino Linotype"/>
          <w:sz w:val="24"/>
          <w:szCs w:val="24"/>
        </w:rPr>
      </w:pPr>
      <w:r w:rsidRPr="002E70A9">
        <w:rPr>
          <w:rFonts w:ascii="Palatino Linotype" w:hAnsi="Palatino Linotype"/>
          <w:sz w:val="24"/>
          <w:szCs w:val="24"/>
        </w:rPr>
        <w:t xml:space="preserve">Por otra parte debe precisarse que una vez que fue substanciado el recurso de revisión al rubro indicado, en los Resolutivos Primero y Segundo de la resolución se determinó que </w:t>
      </w:r>
      <w:r w:rsidRPr="002E70A9">
        <w:rPr>
          <w:rFonts w:ascii="Palatino Linotype" w:hAnsi="Palatino Linotype"/>
          <w:sz w:val="24"/>
          <w:szCs w:val="24"/>
          <w:lang w:val="es-ES"/>
        </w:rPr>
        <w:t>los motivos o razones de inconformidad hechos valer por el recurrente son fundado</w:t>
      </w:r>
      <w:r>
        <w:rPr>
          <w:rFonts w:ascii="Palatino Linotype" w:hAnsi="Palatino Linotype"/>
          <w:sz w:val="24"/>
          <w:szCs w:val="24"/>
          <w:lang w:val="es-ES"/>
        </w:rPr>
        <w:t xml:space="preserve">s, motivo por el cual determinó MODIFICAR la respuesta y ordenar la entrega de la información precisada en </w:t>
      </w:r>
      <w:r w:rsidR="009544DB">
        <w:rPr>
          <w:rFonts w:ascii="Palatino Linotype" w:hAnsi="Palatino Linotype"/>
          <w:sz w:val="24"/>
          <w:szCs w:val="24"/>
          <w:lang w:val="es-ES"/>
        </w:rPr>
        <w:t>el inciso</w:t>
      </w:r>
      <w:r>
        <w:rPr>
          <w:rFonts w:ascii="Palatino Linotype" w:hAnsi="Palatino Linotype"/>
          <w:sz w:val="24"/>
          <w:szCs w:val="24"/>
          <w:lang w:val="es-ES"/>
        </w:rPr>
        <w:t xml:space="preserve"> d)</w:t>
      </w:r>
      <w:r w:rsidRPr="002E70A9">
        <w:rPr>
          <w:rFonts w:ascii="Palatino Linotype" w:hAnsi="Palatino Linotype"/>
          <w:sz w:val="24"/>
          <w:szCs w:val="24"/>
          <w:lang w:val="es-ES"/>
        </w:rPr>
        <w:t>,</w:t>
      </w:r>
      <w:r>
        <w:rPr>
          <w:rFonts w:ascii="Palatino Linotype" w:hAnsi="Palatino Linotype"/>
          <w:sz w:val="24"/>
          <w:szCs w:val="24"/>
          <w:lang w:val="es-ES"/>
        </w:rPr>
        <w:t xml:space="preserve"> en versión pública en donde </w:t>
      </w:r>
      <w:r w:rsidRPr="002E70A9">
        <w:rPr>
          <w:rFonts w:ascii="Palatino Linotype" w:hAnsi="Palatino Linotype"/>
          <w:sz w:val="24"/>
          <w:szCs w:val="24"/>
          <w:lang w:val="es-ES"/>
        </w:rPr>
        <w:t xml:space="preserve">el Sujeto Obligado para emitir el Acuerdo del Comité de Transparencia de conformidad a la Ley de Transparencia y Acceso a la Información Pública del Estado de México y Municipios vigente, </w:t>
      </w:r>
      <w:r>
        <w:rPr>
          <w:rFonts w:ascii="Palatino Linotype" w:hAnsi="Palatino Linotype"/>
          <w:sz w:val="24"/>
          <w:szCs w:val="24"/>
          <w:lang w:val="es-ES"/>
        </w:rPr>
        <w:t>debe fundar y motivar</w:t>
      </w:r>
      <w:r w:rsidRPr="002E70A9">
        <w:rPr>
          <w:rFonts w:ascii="Palatino Linotype" w:hAnsi="Palatino Linotype"/>
          <w:sz w:val="24"/>
          <w:szCs w:val="24"/>
          <w:lang w:val="es-ES"/>
        </w:rPr>
        <w:t xml:space="preserve"> las razones sobre los datos que se supriman o eliminen de los soportes documentales objeto de las versiones públicas que se formulen y se pongan a disposición del recurrente, sin embargo es de mencionar que sobre la fotografía y firma que obra en los documentos como </w:t>
      </w:r>
      <w:r w:rsidRPr="002E70A9">
        <w:rPr>
          <w:rFonts w:ascii="Palatino Linotype" w:hAnsi="Palatino Linotype"/>
          <w:sz w:val="24"/>
          <w:szCs w:val="24"/>
          <w:lang w:val="es-ES"/>
        </w:rPr>
        <w:lastRenderedPageBreak/>
        <w:t>currículum, cedula profesional, título profesional, certificado de estudios, certificación y demás documentos cuya se entrega ordena</w:t>
      </w:r>
      <w:r>
        <w:rPr>
          <w:rFonts w:ascii="Palatino Linotype" w:hAnsi="Palatino Linotype"/>
          <w:sz w:val="24"/>
          <w:szCs w:val="24"/>
          <w:lang w:val="es-ES"/>
        </w:rPr>
        <w:t xml:space="preserve"> refiere que deben dejarse visibles</w:t>
      </w:r>
      <w:r w:rsidRPr="002E70A9">
        <w:rPr>
          <w:rFonts w:ascii="Palatino Linotype" w:hAnsi="Palatino Linotype"/>
          <w:sz w:val="24"/>
          <w:szCs w:val="24"/>
          <w:lang w:val="es-ES"/>
        </w:rPr>
        <w:t xml:space="preserve">. </w:t>
      </w:r>
    </w:p>
    <w:p w:rsidR="005B2015" w:rsidRPr="002E70A9" w:rsidRDefault="005B2015" w:rsidP="005B2015">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rPr>
        <w:t xml:space="preserve">En esta tesitura el suscrito considera pertinente referir que difiere que en el caso concreto </w:t>
      </w:r>
      <w:r w:rsidR="00AD4ECD">
        <w:rPr>
          <w:rFonts w:ascii="Palatino Linotype" w:hAnsi="Palatino Linotype"/>
          <w:sz w:val="24"/>
          <w:szCs w:val="24"/>
        </w:rPr>
        <w:t xml:space="preserve">de las documentales cuya entrega se ordena en el inciso d) se dejen visibles la </w:t>
      </w:r>
      <w:r w:rsidRPr="002E70A9">
        <w:rPr>
          <w:rFonts w:ascii="Palatino Linotype" w:hAnsi="Palatino Linotype"/>
          <w:i/>
          <w:sz w:val="24"/>
          <w:szCs w:val="24"/>
        </w:rPr>
        <w:t>fotografía y firma</w:t>
      </w:r>
      <w:bookmarkStart w:id="0" w:name="_GoBack"/>
      <w:bookmarkEnd w:id="0"/>
      <w:r w:rsidRPr="002E70A9">
        <w:rPr>
          <w:rFonts w:ascii="Palatino Linotype" w:hAnsi="Palatino Linotype"/>
          <w:sz w:val="24"/>
          <w:szCs w:val="24"/>
        </w:rPr>
        <w:t xml:space="preserve">, lo anterior es así, toda vez que no se debe perder de vista que los mismos constituyen datos personales que hacen identificable a la persona, por lo que son </w:t>
      </w:r>
      <w:r w:rsidRPr="002E70A9">
        <w:rPr>
          <w:rFonts w:ascii="Palatino Linotype" w:hAnsi="Palatino Linotype"/>
          <w:sz w:val="24"/>
          <w:szCs w:val="24"/>
          <w:lang w:val="es-ES"/>
        </w:rPr>
        <w:t xml:space="preserve">susceptibles de ser testados con el </w:t>
      </w:r>
      <w:r w:rsidRPr="002E70A9">
        <w:rPr>
          <w:rFonts w:ascii="Palatino Linotype" w:hAnsi="Palatino Linotype"/>
          <w:sz w:val="24"/>
          <w:szCs w:val="24"/>
          <w:lang w:val="es-ES_tradnl"/>
        </w:rPr>
        <w:t xml:space="preserve">objeto de protegerlos, </w:t>
      </w:r>
      <w:r w:rsidRPr="002E70A9">
        <w:rPr>
          <w:rFonts w:ascii="Palatino Linotype" w:hAnsi="Palatino Linotype"/>
          <w:sz w:val="24"/>
          <w:szCs w:val="24"/>
          <w:lang w:val="es-ES"/>
        </w:rPr>
        <w:t>en términos del artículo 4 fracción VII de la Ley de Protección de Datos Personales del Estado de México.</w:t>
      </w:r>
    </w:p>
    <w:p w:rsidR="005B2015" w:rsidRPr="002E70A9" w:rsidRDefault="005B2015" w:rsidP="005B2015">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5B2015" w:rsidRPr="00422884" w:rsidRDefault="005B2015" w:rsidP="005B2015">
      <w:pPr>
        <w:spacing w:after="0" w:line="360" w:lineRule="auto"/>
        <w:jc w:val="both"/>
        <w:rPr>
          <w:rFonts w:ascii="Palatino Linotype" w:hAnsi="Palatino Linotype"/>
          <w:lang w:val="es-ES"/>
        </w:rPr>
      </w:pPr>
    </w:p>
    <w:p w:rsidR="005B2015" w:rsidRPr="00266F4D" w:rsidRDefault="005B2015" w:rsidP="005B2015">
      <w:pPr>
        <w:spacing w:after="0" w:line="240" w:lineRule="auto"/>
        <w:ind w:left="851" w:right="851"/>
        <w:jc w:val="both"/>
        <w:rPr>
          <w:rFonts w:ascii="Palatino Linotype" w:hAnsi="Palatino Linotype"/>
          <w:i/>
        </w:rPr>
      </w:pPr>
      <w:r w:rsidRPr="00266F4D">
        <w:rPr>
          <w:rFonts w:ascii="Palatino Linotype" w:hAnsi="Palatino Linotype"/>
          <w:i/>
          <w:lang w:val="es-ES"/>
        </w:rPr>
        <w:t>"</w:t>
      </w:r>
      <w:r w:rsidRPr="00266F4D">
        <w:rPr>
          <w:rFonts w:ascii="Palatino Linotype" w:hAnsi="Palatino Linotype"/>
          <w:b/>
          <w:bCs/>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66F4D">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w:t>
      </w:r>
      <w:r w:rsidRPr="00266F4D">
        <w:rPr>
          <w:rFonts w:ascii="Palatino Linotype" w:hAnsi="Palatino Linotype"/>
          <w:i/>
        </w:rPr>
        <w:lastRenderedPageBreak/>
        <w:t xml:space="preserve">Transparencia y Acceso a la Información Pública Gubernamental, al tutelar sólo el derecho a la protección de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xml:space="preserve"> de las personas </w:t>
      </w:r>
      <w:r w:rsidRPr="00266F4D">
        <w:rPr>
          <w:rFonts w:ascii="Palatino Linotype" w:hAnsi="Palatino Linotype"/>
          <w:bCs/>
          <w:i/>
        </w:rPr>
        <w:t>físicas</w:t>
      </w:r>
      <w:r w:rsidRPr="00266F4D">
        <w:rPr>
          <w:rFonts w:ascii="Palatino Linotype" w:hAnsi="Palatino Linotype"/>
          <w:i/>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xml:space="preserve"> se refiere únicamente a las personas </w:t>
      </w:r>
      <w:r w:rsidRPr="00266F4D">
        <w:rPr>
          <w:rFonts w:ascii="Palatino Linotype" w:hAnsi="Palatino Linotype"/>
          <w:bCs/>
          <w:i/>
        </w:rPr>
        <w:t>físicas</w:t>
      </w:r>
      <w:r w:rsidRPr="00266F4D">
        <w:rPr>
          <w:rFonts w:ascii="Palatino Linotype" w:hAnsi="Palatino Linotype"/>
          <w:i/>
        </w:rPr>
        <w:t xml:space="preserve"> por estar encausado al respeto de un derecho personalísimo, como es el de la intimidad, del cual derivó aquél. Esto es, en el apuntado supuesto no se actualiza una igualdad jurídica entre las personas </w:t>
      </w:r>
      <w:r w:rsidRPr="00266F4D">
        <w:rPr>
          <w:rFonts w:ascii="Palatino Linotype" w:hAnsi="Palatino Linotype"/>
          <w:bCs/>
          <w:i/>
        </w:rPr>
        <w:t>físicas</w:t>
      </w:r>
      <w:r w:rsidRPr="00266F4D">
        <w:rPr>
          <w:rFonts w:ascii="Palatino Linotype" w:hAnsi="Palatino Linotype"/>
          <w:i/>
        </w:rPr>
        <w:t xml:space="preserve"> y las morales porque ambas están en situaciones de derecho dispares, ya que la protección de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entre ellos el del patrimonio y su confidencialidad, es una derivación del derecho a la intimidad, del cual únicamente goza el individuo, entendido como la persona humana."</w:t>
      </w:r>
    </w:p>
    <w:p w:rsidR="005B2015" w:rsidRDefault="005B2015" w:rsidP="005B2015">
      <w:pPr>
        <w:spacing w:after="0" w:line="360" w:lineRule="auto"/>
        <w:jc w:val="both"/>
        <w:rPr>
          <w:rFonts w:ascii="Palatino Linotype" w:hAnsi="Palatino Linotype"/>
          <w:sz w:val="23"/>
          <w:szCs w:val="23"/>
          <w:lang w:val="es-ES"/>
        </w:rPr>
      </w:pPr>
    </w:p>
    <w:p w:rsidR="005B2015" w:rsidRPr="002E70A9" w:rsidRDefault="005B2015" w:rsidP="005B2015">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rPr>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carta de pasante; ya que la </w:t>
      </w:r>
      <w:r w:rsidRPr="002E70A9">
        <w:rPr>
          <w:rFonts w:ascii="Palatino Linotype" w:hAnsi="Palatino Linotype"/>
          <w:bCs/>
          <w:sz w:val="24"/>
          <w:szCs w:val="24"/>
          <w:lang w:val="es-ES"/>
        </w:rPr>
        <w:t>fotografía es un dato personal confidencial,</w:t>
      </w:r>
      <w:r w:rsidRPr="002E70A9">
        <w:rPr>
          <w:rFonts w:ascii="Palatino Linotype" w:hAnsi="Palatino Linotype"/>
          <w:b/>
          <w:bCs/>
          <w:sz w:val="24"/>
          <w:szCs w:val="24"/>
          <w:lang w:val="es-ES"/>
        </w:rPr>
        <w:t xml:space="preserve"> </w:t>
      </w:r>
      <w:r w:rsidRPr="002E70A9">
        <w:rPr>
          <w:rFonts w:ascii="Palatino Linotype" w:hAnsi="Palatino Linotype"/>
          <w:sz w:val="24"/>
          <w:szCs w:val="24"/>
          <w:lang w:val="es-ES"/>
        </w:rPr>
        <w:t xml:space="preserve">en términos de lo dispuesto en los artículos 3, fracción IX y 143, fracción I de la Ley de Transparencia y Acceso a la Información Pública del Estado de México y Municipios, </w:t>
      </w:r>
      <w:r w:rsidRPr="002E70A9">
        <w:rPr>
          <w:rFonts w:ascii="Palatino Linotype" w:hAnsi="Palatino Linotype"/>
          <w:bCs/>
          <w:sz w:val="24"/>
          <w:szCs w:val="24"/>
          <w:lang w:val="es-ES"/>
        </w:rPr>
        <w:t xml:space="preserve">así como en el artículo 4, fracciones XI y XII de </w:t>
      </w:r>
      <w:r w:rsidRPr="002E70A9">
        <w:rPr>
          <w:rFonts w:ascii="Palatino Linotype" w:hAnsi="Palatino Linotype"/>
          <w:sz w:val="24"/>
          <w:szCs w:val="24"/>
          <w:lang w:val="es-ES"/>
        </w:rPr>
        <w:t>la Ley de Protección de Datos Personales en Posesión de Sujetos Obligados del Estado de México y Municipios.</w:t>
      </w:r>
    </w:p>
    <w:p w:rsidR="005B2015" w:rsidRPr="002E70A9" w:rsidRDefault="005B2015" w:rsidP="005B2015">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 xml:space="preserve">Lo anterior es así, en atención a que las fotografías constituyen la reproducción fiel de las características físicas de una persona en un momento determinado, por lo que </w:t>
      </w:r>
      <w:r w:rsidRPr="002E70A9">
        <w:rPr>
          <w:rFonts w:ascii="Palatino Linotype" w:hAnsi="Palatino Linotype"/>
          <w:sz w:val="24"/>
          <w:szCs w:val="24"/>
          <w:lang w:val="es-ES"/>
        </w:rPr>
        <w:lastRenderedPageBreak/>
        <w:t xml:space="preserve">representan un instrumento de identificación, proyección exterior y factor imprescindible para su propio reconocimiento como sujeto individual. </w:t>
      </w:r>
    </w:p>
    <w:p w:rsidR="005B2015" w:rsidRPr="002E70A9" w:rsidRDefault="005B2015" w:rsidP="005B2015">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5B2015" w:rsidRPr="002E70A9" w:rsidRDefault="005B2015" w:rsidP="005B2015">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2E70A9">
        <w:rPr>
          <w:rFonts w:ascii="Palatino Linotype" w:hAnsi="Palatino Linotype"/>
          <w:sz w:val="24"/>
          <w:szCs w:val="24"/>
        </w:rPr>
        <w:t>.</w:t>
      </w:r>
    </w:p>
    <w:p w:rsidR="005B2015" w:rsidRPr="002E70A9" w:rsidRDefault="005B2015" w:rsidP="005B2015">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En efecto, la fotografía y la firma tanto en el certificado de estudios, título, cédula profesional, carta de pasante o en el currículum vitae, son susceptibles de ser testados,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w:t>
      </w:r>
    </w:p>
    <w:p w:rsidR="005B2015" w:rsidRPr="002E70A9" w:rsidRDefault="005B2015" w:rsidP="005B2015">
      <w:pPr>
        <w:spacing w:before="240" w:after="240" w:line="360" w:lineRule="auto"/>
        <w:jc w:val="both"/>
        <w:rPr>
          <w:rFonts w:ascii="Palatino Linotype" w:hAnsi="Palatino Linotype"/>
          <w:sz w:val="24"/>
          <w:szCs w:val="24"/>
        </w:rPr>
      </w:pPr>
      <w:r w:rsidRPr="002E70A9">
        <w:rPr>
          <w:rFonts w:ascii="Palatino Linotype" w:hAnsi="Palatino Linotype"/>
          <w:sz w:val="24"/>
          <w:szCs w:val="24"/>
          <w:lang w:val="es-ES"/>
        </w:rPr>
        <w:lastRenderedPageBreak/>
        <w:t xml:space="preserve">Por lo que se refiere a la firma o rúbrica, es necesario referir que la misma </w:t>
      </w:r>
      <w:r w:rsidRPr="002E70A9">
        <w:rPr>
          <w:rFonts w:ascii="Palatino Linotype" w:hAnsi="Palatino Linotype"/>
          <w:sz w:val="24"/>
          <w:szCs w:val="24"/>
        </w:rPr>
        <w:t>tiene su origen en la </w:t>
      </w:r>
      <w:hyperlink r:id="rId6" w:tooltip="Grafología" w:history="1">
        <w:r w:rsidRPr="00963C63">
          <w:rPr>
            <w:rStyle w:val="Hipervnculo"/>
            <w:rFonts w:ascii="Palatino Linotype" w:hAnsi="Palatino Linotype"/>
            <w:color w:val="auto"/>
            <w:sz w:val="24"/>
            <w:szCs w:val="24"/>
            <w:u w:val="none"/>
          </w:rPr>
          <w:t>grafología</w:t>
        </w:r>
      </w:hyperlink>
      <w:r w:rsidRPr="002E70A9">
        <w:rPr>
          <w:rFonts w:ascii="Palatino Linotype" w:hAnsi="Palatino Linotype"/>
          <w:sz w:val="24"/>
          <w:szCs w:val="24"/>
        </w:rPr>
        <w:t> también conocida como </w:t>
      </w:r>
      <w:r w:rsidRPr="002E70A9">
        <w:rPr>
          <w:rFonts w:ascii="Palatino Linotype" w:hAnsi="Palatino Linotype"/>
          <w:bCs/>
          <w:sz w:val="24"/>
          <w:szCs w:val="24"/>
        </w:rPr>
        <w:t>firma manuscrita</w:t>
      </w:r>
      <w:r w:rsidRPr="002E70A9">
        <w:rPr>
          <w:rFonts w:ascii="Palatino Linotype" w:hAnsi="Palatino Linotype"/>
          <w:sz w:val="24"/>
          <w:szCs w:val="24"/>
        </w:rPr>
        <w:t> y como </w:t>
      </w:r>
      <w:r w:rsidRPr="002E70A9">
        <w:rPr>
          <w:rFonts w:ascii="Palatino Linotype" w:hAnsi="Palatino Linotype"/>
          <w:bCs/>
          <w:sz w:val="24"/>
          <w:szCs w:val="24"/>
        </w:rPr>
        <w:t>firma ológrafa</w:t>
      </w:r>
      <w:r w:rsidRPr="002E70A9">
        <w:rPr>
          <w:rFonts w:ascii="Palatino Linotype" w:hAnsi="Palatino Linotype"/>
          <w:sz w:val="24"/>
          <w:szCs w:val="24"/>
        </w:rPr>
        <w:t>, del mismo es considerada como una escritura gráfica o manuscrito que representa el nombre y apellido, o título, que una persona escribe de su propia mano, y tiene fines identificatorios, jurídicos, bancarios, representativos y diplomáticos.</w:t>
      </w:r>
    </w:p>
    <w:p w:rsidR="005B2015" w:rsidRPr="004074B2" w:rsidRDefault="005B2015" w:rsidP="005B2015">
      <w:pPr>
        <w:spacing w:before="240" w:after="240" w:line="360" w:lineRule="auto"/>
        <w:jc w:val="both"/>
        <w:rPr>
          <w:rFonts w:ascii="Palatino Linotype" w:hAnsi="Palatino Linotype"/>
          <w:sz w:val="24"/>
          <w:szCs w:val="24"/>
          <w:lang w:val="es-AR"/>
        </w:rPr>
      </w:pPr>
      <w:r w:rsidRPr="002E70A9">
        <w:rPr>
          <w:rFonts w:ascii="Palatino Linotype" w:hAnsi="Palatino Linotype"/>
          <w:sz w:val="24"/>
          <w:szCs w:val="24"/>
        </w:rPr>
        <w:t>En este entendido debe precisarse que si bien es cierto el criterio número 10/10 emitido por el IFAI, ahora Instituto Nacional de Transparencia refiere en términos generales que firma de los servidores públicos es información de carácter público cuando ésta es utilizada en el ejercicio de las facultades conferidas para el desempeño  del  servicio  público, es decir, cuando un servidor público emite un acto como autoridad, en ejercicio de las funciones que tiene conferidas, empero no se debe perder de vista que la firma de la persona a favor de quien se expiden los Títulos profesionales, cédula profesional, carta de pasante, certificado o documento análogo, la misma fue plasmada sin que ejerciera las funciones y atribuciones que la ley confiere en su carácter de servidor público, sino en su carácter</w:t>
      </w:r>
      <w:r w:rsidRPr="004074B2">
        <w:rPr>
          <w:rFonts w:ascii="Palatino Linotype" w:hAnsi="Palatino Linotype"/>
          <w:sz w:val="24"/>
          <w:szCs w:val="24"/>
          <w:lang w:val="es-AR"/>
        </w:rPr>
        <w:t xml:space="preserve"> de particular.</w:t>
      </w:r>
    </w:p>
    <w:p w:rsidR="005B2015" w:rsidRPr="004074B2" w:rsidRDefault="005B2015" w:rsidP="005B2015">
      <w:pPr>
        <w:spacing w:before="240" w:after="240" w:line="360" w:lineRule="auto"/>
        <w:jc w:val="both"/>
        <w:rPr>
          <w:rFonts w:ascii="Palatino Linotype" w:hAnsi="Palatino Linotype"/>
          <w:sz w:val="24"/>
          <w:szCs w:val="24"/>
          <w:lang w:val="es-AR"/>
        </w:rPr>
      </w:pPr>
      <w:r w:rsidRPr="002E70A9">
        <w:rPr>
          <w:rFonts w:ascii="Palatino Linotype" w:hAnsi="Palatino Linotype"/>
          <w:sz w:val="24"/>
          <w:szCs w:val="24"/>
        </w:rPr>
        <w:t>En consecuencia, las fotografías y las firmas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datos personales (</w:t>
      </w:r>
      <w:r w:rsidRPr="002E70A9">
        <w:rPr>
          <w:rFonts w:ascii="Palatino Linotype" w:hAnsi="Palatino Linotype"/>
          <w:i/>
          <w:sz w:val="24"/>
          <w:szCs w:val="24"/>
        </w:rPr>
        <w:t>fotografía y firma</w:t>
      </w:r>
      <w:r w:rsidRPr="002E70A9">
        <w:rPr>
          <w:rFonts w:ascii="Palatino Linotype" w:hAnsi="Palatino Linotype"/>
          <w:sz w:val="24"/>
          <w:szCs w:val="24"/>
        </w:rPr>
        <w:t xml:space="preserve">) se tramitó por el titular del mismo </w:t>
      </w:r>
      <w:r w:rsidRPr="002E70A9">
        <w:rPr>
          <w:rFonts w:ascii="Palatino Linotype" w:hAnsi="Palatino Linotype"/>
          <w:sz w:val="24"/>
          <w:szCs w:val="24"/>
        </w:rPr>
        <w:lastRenderedPageBreak/>
        <w:t xml:space="preserve">sin ejercer, ni hacer uso de las funciones y atribuciones que la ley confiere en su carácter de servidor o funcionario público. </w:t>
      </w:r>
    </w:p>
    <w:p w:rsidR="005B2015" w:rsidRPr="002E70A9" w:rsidRDefault="005B2015" w:rsidP="005B2015">
      <w:pPr>
        <w:spacing w:before="240" w:after="240" w:line="360" w:lineRule="auto"/>
        <w:jc w:val="both"/>
        <w:rPr>
          <w:rFonts w:ascii="Palatino Linotype" w:hAnsi="Palatino Linotype" w:cs="Arial"/>
          <w:sz w:val="24"/>
          <w:szCs w:val="24"/>
        </w:rPr>
      </w:pPr>
      <w:r w:rsidRPr="002E70A9">
        <w:rPr>
          <w:rFonts w:ascii="Palatino Linotype" w:hAnsi="Palatino Linotype"/>
          <w:sz w:val="24"/>
          <w:szCs w:val="24"/>
        </w:rPr>
        <w:t>En mérito de lo precisado con anterioridad</w:t>
      </w:r>
      <w:r w:rsidRPr="002E70A9">
        <w:rPr>
          <w:rFonts w:ascii="Palatino Linotype" w:hAnsi="Palatino Linotype" w:cs="Arial"/>
          <w:sz w:val="24"/>
          <w:szCs w:val="24"/>
        </w:rPr>
        <w:t xml:space="preserve">, </w:t>
      </w:r>
      <w:r w:rsidRPr="002E70A9">
        <w:rPr>
          <w:rFonts w:ascii="Palatino Linotype" w:hAnsi="Palatino Linotype"/>
          <w:sz w:val="24"/>
          <w:szCs w:val="24"/>
        </w:rPr>
        <w:t>el suscrito emite el presente voto particular.</w:t>
      </w:r>
    </w:p>
    <w:p w:rsidR="005B2015" w:rsidRPr="00422884" w:rsidRDefault="005B2015" w:rsidP="005B2015">
      <w:pPr>
        <w:spacing w:after="0" w:line="360" w:lineRule="auto"/>
        <w:rPr>
          <w:rFonts w:ascii="Palatino Linotype" w:hAnsi="Palatino Linotype"/>
          <w:b/>
          <w:sz w:val="23"/>
          <w:szCs w:val="23"/>
        </w:rPr>
      </w:pPr>
    </w:p>
    <w:p w:rsidR="005B2015" w:rsidRPr="00422884" w:rsidRDefault="005B2015" w:rsidP="005B2015">
      <w:pPr>
        <w:spacing w:after="0" w:line="360" w:lineRule="auto"/>
        <w:rPr>
          <w:rFonts w:ascii="Palatino Linotype" w:hAnsi="Palatino Linotype"/>
          <w:b/>
          <w:sz w:val="23"/>
          <w:szCs w:val="23"/>
        </w:rPr>
      </w:pPr>
    </w:p>
    <w:p w:rsidR="005B2015" w:rsidRPr="00422884" w:rsidRDefault="005B2015" w:rsidP="005B2015">
      <w:pPr>
        <w:spacing w:after="0" w:line="240" w:lineRule="auto"/>
        <w:jc w:val="center"/>
        <w:rPr>
          <w:rFonts w:ascii="Palatino Linotype" w:hAnsi="Palatino Linotype"/>
          <w:b/>
          <w:sz w:val="23"/>
          <w:szCs w:val="23"/>
        </w:rPr>
      </w:pPr>
      <w:r w:rsidRPr="00422884">
        <w:rPr>
          <w:rFonts w:ascii="Palatino Linotype" w:hAnsi="Palatino Linotype"/>
          <w:b/>
          <w:sz w:val="23"/>
          <w:szCs w:val="23"/>
        </w:rPr>
        <w:t xml:space="preserve">     Javier Martínez Cruz</w:t>
      </w:r>
    </w:p>
    <w:p w:rsidR="005B2015" w:rsidRDefault="005B2015" w:rsidP="005B2015">
      <w:pPr>
        <w:spacing w:after="0" w:line="240" w:lineRule="auto"/>
        <w:jc w:val="center"/>
        <w:rPr>
          <w:rFonts w:ascii="Palatino Linotype" w:hAnsi="Palatino Linotype"/>
          <w:sz w:val="23"/>
          <w:szCs w:val="23"/>
        </w:rPr>
      </w:pPr>
      <w:r w:rsidRPr="00422884">
        <w:rPr>
          <w:rFonts w:ascii="Palatino Linotype" w:hAnsi="Palatino Linotype"/>
          <w:sz w:val="23"/>
          <w:szCs w:val="23"/>
        </w:rPr>
        <w:t>Comisionado</w:t>
      </w:r>
    </w:p>
    <w:p w:rsidR="005B2015" w:rsidRPr="00422884" w:rsidRDefault="005B2015" w:rsidP="005B2015">
      <w:pPr>
        <w:spacing w:after="0" w:line="240" w:lineRule="auto"/>
        <w:jc w:val="center"/>
        <w:rPr>
          <w:rFonts w:ascii="Palatino Linotype" w:hAnsi="Palatino Linotype"/>
          <w:sz w:val="23"/>
          <w:szCs w:val="23"/>
        </w:rPr>
      </w:pPr>
      <w:r>
        <w:rPr>
          <w:rFonts w:ascii="Palatino Linotype" w:hAnsi="Palatino Linotype"/>
          <w:sz w:val="23"/>
          <w:szCs w:val="23"/>
        </w:rPr>
        <w:t>(Rúbrica)</w:t>
      </w:r>
    </w:p>
    <w:p w:rsidR="005B2015" w:rsidRPr="00422884" w:rsidRDefault="005B2015" w:rsidP="005B2015">
      <w:pPr>
        <w:spacing w:after="0" w:line="240" w:lineRule="auto"/>
        <w:jc w:val="center"/>
        <w:rPr>
          <w:rFonts w:ascii="Palatino Linotype" w:hAnsi="Palatino Linotype"/>
          <w:sz w:val="23"/>
          <w:szCs w:val="23"/>
        </w:rPr>
      </w:pPr>
    </w:p>
    <w:p w:rsidR="005B2015" w:rsidRPr="00F701AA" w:rsidRDefault="005B2015" w:rsidP="005B2015">
      <w:pPr>
        <w:spacing w:after="0" w:line="240" w:lineRule="auto"/>
        <w:jc w:val="center"/>
        <w:rPr>
          <w:rFonts w:ascii="Palatino Linotype" w:hAnsi="Palatino Linotype"/>
          <w:sz w:val="23"/>
          <w:szCs w:val="23"/>
        </w:rPr>
      </w:pPr>
    </w:p>
    <w:p w:rsidR="005B2015" w:rsidRDefault="005B2015" w:rsidP="005B2015"/>
    <w:p w:rsidR="005B2015" w:rsidRDefault="005B2015" w:rsidP="005B2015"/>
    <w:p w:rsidR="009533A2" w:rsidRDefault="009533A2"/>
    <w:sectPr w:rsidR="009533A2"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FEC" w:rsidRDefault="00C43FEC" w:rsidP="005B2015">
      <w:pPr>
        <w:spacing w:after="0" w:line="240" w:lineRule="auto"/>
      </w:pPr>
      <w:r>
        <w:separator/>
      </w:r>
    </w:p>
  </w:endnote>
  <w:endnote w:type="continuationSeparator" w:id="0">
    <w:p w:rsidR="00C43FEC" w:rsidRDefault="00C43FEC" w:rsidP="005B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43FEC"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D4ECD">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D4ECD">
      <w:rPr>
        <w:rFonts w:ascii="Arial" w:hAnsi="Arial" w:cs="Arial"/>
        <w:b/>
        <w:bCs/>
        <w:noProof/>
        <w:sz w:val="20"/>
        <w:szCs w:val="20"/>
      </w:rPr>
      <w:t>7</w:t>
    </w:r>
    <w:r w:rsidRPr="00986599">
      <w:rPr>
        <w:rFonts w:ascii="Arial" w:hAnsi="Arial" w:cs="Arial"/>
        <w:b/>
        <w:bCs/>
        <w:sz w:val="20"/>
        <w:szCs w:val="20"/>
      </w:rPr>
      <w:fldChar w:fldCharType="end"/>
    </w:r>
  </w:p>
  <w:p w:rsidR="00D758BE" w:rsidRDefault="00C43FE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FEC" w:rsidRDefault="00C43FEC" w:rsidP="005B2015">
      <w:pPr>
        <w:spacing w:after="0" w:line="240" w:lineRule="auto"/>
      </w:pPr>
      <w:r>
        <w:separator/>
      </w:r>
    </w:p>
  </w:footnote>
  <w:footnote w:type="continuationSeparator" w:id="0">
    <w:p w:rsidR="00C43FEC" w:rsidRDefault="00C43FEC" w:rsidP="005B2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43FEC">
    <w:pPr>
      <w:pStyle w:val="Encabezado"/>
    </w:pPr>
    <w:r>
      <w:rPr>
        <w:noProof/>
        <w:lang w:val="es-MX" w:eastAsia="es-MX"/>
      </w:rPr>
      <mc:AlternateContent>
        <mc:Choice Requires="wps">
          <w:drawing>
            <wp:anchor distT="0" distB="0" distL="114300" distR="114300" simplePos="0" relativeHeight="251659264" behindDoc="1" locked="0" layoutInCell="0" allowOverlap="1" wp14:anchorId="33A4F462" wp14:editId="5A4031C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43FE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A4F462"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43FE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43FEC"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6BC2D238" wp14:editId="2C07A542">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C43FEC" w:rsidP="007263BB">
    <w:pPr>
      <w:pStyle w:val="Encabezado"/>
      <w:jc w:val="right"/>
      <w:rPr>
        <w:rFonts w:ascii="Arial" w:hAnsi="Arial" w:cs="Arial"/>
        <w:sz w:val="20"/>
        <w:szCs w:val="20"/>
      </w:rPr>
    </w:pPr>
  </w:p>
  <w:p w:rsidR="00D758BE" w:rsidRDefault="00C43FEC" w:rsidP="007263BB">
    <w:pPr>
      <w:pStyle w:val="Encabezado"/>
      <w:jc w:val="right"/>
      <w:rPr>
        <w:rFonts w:ascii="Arial" w:hAnsi="Arial" w:cs="Arial"/>
        <w:sz w:val="20"/>
        <w:szCs w:val="20"/>
      </w:rPr>
    </w:pPr>
  </w:p>
  <w:p w:rsidR="00706042" w:rsidRPr="00563D0F" w:rsidRDefault="00C43FEC"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C43FEC"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5B2015">
      <w:rPr>
        <w:rFonts w:ascii="Palatino Linotype" w:hAnsi="Palatino Linotype" w:cs="Arial"/>
        <w:b/>
        <w:sz w:val="20"/>
        <w:szCs w:val="20"/>
      </w:rPr>
      <w:t>1257</w:t>
    </w:r>
    <w:r>
      <w:rPr>
        <w:rFonts w:ascii="Palatino Linotype" w:hAnsi="Palatino Linotype" w:cs="Arial"/>
        <w:b/>
        <w:sz w:val="20"/>
        <w:szCs w:val="20"/>
      </w:rPr>
      <w:t xml:space="preserve">/INFOEM/IP/RR/2019 </w:t>
    </w:r>
  </w:p>
  <w:p w:rsidR="00D758BE" w:rsidRDefault="00C43FEC" w:rsidP="007263BB">
    <w:pPr>
      <w:pStyle w:val="Encabezado"/>
      <w:jc w:val="right"/>
      <w:rPr>
        <w:rFonts w:ascii="Palatino Linotype" w:hAnsi="Palatino Linotype" w:cs="Arial"/>
        <w:sz w:val="20"/>
        <w:szCs w:val="20"/>
      </w:rPr>
    </w:pPr>
  </w:p>
  <w:p w:rsidR="00233AB2" w:rsidRDefault="00C43FEC"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15"/>
    <w:rsid w:val="005B2015"/>
    <w:rsid w:val="009533A2"/>
    <w:rsid w:val="009544DB"/>
    <w:rsid w:val="00AD4ECD"/>
    <w:rsid w:val="00C43F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B2D79-204D-43B8-B954-B1ED5D01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015"/>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01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B201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B201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B201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5B201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B201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B2015"/>
  </w:style>
  <w:style w:type="character" w:styleId="Hipervnculo">
    <w:name w:val="Hyperlink"/>
    <w:basedOn w:val="Fuentedeprrafopredeter"/>
    <w:uiPriority w:val="99"/>
    <w:unhideWhenUsed/>
    <w:rsid w:val="005B2015"/>
    <w:rPr>
      <w:color w:val="0563C1" w:themeColor="hyperlink"/>
      <w:u w:val="single"/>
    </w:rPr>
  </w:style>
  <w:style w:type="paragraph" w:styleId="Textodeglobo">
    <w:name w:val="Balloon Text"/>
    <w:basedOn w:val="Normal"/>
    <w:link w:val="TextodegloboCar"/>
    <w:uiPriority w:val="99"/>
    <w:semiHidden/>
    <w:unhideWhenUsed/>
    <w:rsid w:val="00AD4E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4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Grafolog%C3%AD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1490</Words>
  <Characters>8197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2019-05-03T21:22:00Z</cp:lastPrinted>
  <dcterms:created xsi:type="dcterms:W3CDTF">2019-05-03T20:50:00Z</dcterms:created>
  <dcterms:modified xsi:type="dcterms:W3CDTF">2019-05-03T21:22:00Z</dcterms:modified>
</cp:coreProperties>
</file>